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7E7D4">
      <w:pPr>
        <w:pStyle w:val="5"/>
        <w:rPr>
          <w:rFonts w:hint="eastAsia" w:hAnsi="宋体" w:cs="宋体"/>
        </w:rPr>
      </w:pPr>
    </w:p>
    <w:p w14:paraId="7D118A4F">
      <w:pPr>
        <w:pStyle w:val="5"/>
        <w:jc w:val="center"/>
        <w:rPr>
          <w:rFonts w:hint="eastAsia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hAnsi="宋体" w:cs="宋体"/>
          <w:b/>
          <w:sz w:val="44"/>
          <w:szCs w:val="44"/>
          <w:lang w:val="en-US" w:eastAsia="zh-CN"/>
        </w:rPr>
        <w:t>采购需求</w:t>
      </w:r>
    </w:p>
    <w:p w14:paraId="347E7CD7">
      <w:pPr>
        <w:pStyle w:val="5"/>
        <w:rPr>
          <w:rFonts w:hint="eastAsia" w:hAnsi="宋体" w:cs="宋体"/>
        </w:rPr>
      </w:pPr>
    </w:p>
    <w:p w14:paraId="2440B1D0">
      <w:pPr>
        <w:pStyle w:val="4"/>
        <w:spacing w:line="360" w:lineRule="auto"/>
        <w:ind w:left="0" w:leftChars="0"/>
        <w:rPr>
          <w:rFonts w:ascii="宋体"/>
          <w:b/>
          <w:bCs/>
          <w:sz w:val="24"/>
          <w:szCs w:val="28"/>
        </w:rPr>
      </w:pPr>
      <w:r>
        <w:rPr>
          <w:rFonts w:hint="eastAsia" w:ascii="宋体"/>
          <w:b/>
          <w:bCs/>
          <w:sz w:val="24"/>
          <w:szCs w:val="28"/>
        </w:rPr>
        <w:t>技术服务内容：</w:t>
      </w:r>
    </w:p>
    <w:p w14:paraId="6289FDD5"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互</w:t>
      </w:r>
      <w:bookmarkStart w:id="0" w:name="_GoBack"/>
      <w:bookmarkEnd w:id="0"/>
      <w:r>
        <w:rPr>
          <w:rFonts w:hint="eastAsia" w:ascii="宋体" w:hAnsi="宋体"/>
          <w:b/>
          <w:sz w:val="24"/>
        </w:rPr>
        <w:t>联网专线≥</w:t>
      </w:r>
      <w:r>
        <w:rPr>
          <w:rFonts w:ascii="宋体" w:hAnsi="宋体"/>
          <w:b/>
          <w:sz w:val="24"/>
        </w:rPr>
        <w:t>1000M接入及光纤租赁服务</w:t>
      </w:r>
    </w:p>
    <w:p w14:paraId="4D93C43C"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ascii="宋体" w:hAnsi="宋体"/>
          <w:b/>
          <w:sz w:val="24"/>
        </w:rPr>
        <w:t>1.技术要求及配置</w:t>
      </w:r>
    </w:p>
    <w:p w14:paraId="3FDEA69E">
      <w:pPr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1.1</w:t>
      </w:r>
      <w:r>
        <w:rPr>
          <w:rFonts w:hint="eastAsia" w:ascii="宋体" w:hAnsi="宋体"/>
          <w:b/>
          <w:sz w:val="24"/>
        </w:rPr>
        <w:t>互联网专线≥</w:t>
      </w:r>
      <w:r>
        <w:rPr>
          <w:rFonts w:ascii="宋体" w:hAnsi="宋体"/>
          <w:b/>
          <w:sz w:val="24"/>
        </w:rPr>
        <w:t>1000M接入</w:t>
      </w:r>
    </w:p>
    <w:p w14:paraId="452C9F68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（1）互联网专线</w:t>
      </w:r>
      <w:r>
        <w:rPr>
          <w:rFonts w:ascii="宋体" w:hAnsi="宋体"/>
          <w:sz w:val="24"/>
        </w:rPr>
        <w:t>电路必须接入中标网络的骨干层或汇聚层设备，带宽必须上、下行对称，必须以</w:t>
      </w:r>
      <w:r>
        <w:rPr>
          <w:rFonts w:hint="eastAsia" w:ascii="宋体" w:hAnsi="宋体"/>
          <w:b/>
          <w:sz w:val="24"/>
        </w:rPr>
        <w:t>≥</w:t>
      </w:r>
      <w:r>
        <w:rPr>
          <w:rFonts w:ascii="宋体" w:hAnsi="宋体"/>
          <w:sz w:val="24"/>
        </w:rPr>
        <w:t>1G光口的方式接入。</w:t>
      </w:r>
    </w:p>
    <w:p w14:paraId="2EAA25F7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）</w:t>
      </w:r>
      <w:r>
        <w:rPr>
          <w:rFonts w:ascii="宋体" w:hAnsi="宋体"/>
          <w:sz w:val="24"/>
        </w:rPr>
        <w:t>提供</w:t>
      </w:r>
      <w:r>
        <w:rPr>
          <w:rFonts w:hint="eastAsia" w:ascii="宋体" w:hAnsi="宋体"/>
          <w:b/>
          <w:sz w:val="24"/>
        </w:rPr>
        <w:t>≥</w:t>
      </w:r>
      <w:r>
        <w:rPr>
          <w:rFonts w:ascii="宋体" w:hAnsi="宋体"/>
          <w:sz w:val="24"/>
        </w:rPr>
        <w:t>1000Mbps网络通信带宽</w:t>
      </w:r>
      <w:r>
        <w:rPr>
          <w:rFonts w:hint="eastAsia" w:ascii="宋体" w:hAnsi="宋体"/>
          <w:sz w:val="24"/>
        </w:rPr>
        <w:t>。若中标方为原提供服务的运营商则必须</w:t>
      </w:r>
      <w:r>
        <w:rPr>
          <w:rFonts w:ascii="宋体" w:hAnsi="宋体"/>
          <w:sz w:val="24"/>
        </w:rPr>
        <w:t>保持校方现用公网IP地址不变，并分配新的IP地址，保证总的可用IP地址大于</w:t>
      </w:r>
      <w:r>
        <w:rPr>
          <w:rFonts w:hint="eastAsia" w:ascii="宋体" w:hAnsi="宋体"/>
          <w:sz w:val="24"/>
        </w:rPr>
        <w:t>等于96</w:t>
      </w:r>
      <w:r>
        <w:rPr>
          <w:rFonts w:ascii="宋体" w:hAnsi="宋体"/>
          <w:sz w:val="24"/>
        </w:rPr>
        <w:t>个。</w:t>
      </w:r>
    </w:p>
    <w:p w14:paraId="572D643B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）IPv6支持，要求以双栈方式提供IPv6支持，IPV6提供不低于一个的/48地址块。</w:t>
      </w:r>
    </w:p>
    <w:p w14:paraId="643FEEE0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（4）</w:t>
      </w:r>
      <w:r>
        <w:rPr>
          <w:rFonts w:ascii="宋体" w:hAnsi="宋体"/>
          <w:sz w:val="24"/>
        </w:rPr>
        <w:t>网络性能参数要求</w:t>
      </w:r>
    </w:p>
    <w:p w14:paraId="06879948"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1)传输时延&lt;15ms；</w:t>
      </w:r>
    </w:p>
    <w:p w14:paraId="764BC09E"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2)并提供不同路由冗余电路，当其中一条电路发生故障时，另一条电路能接管业务，主备用电路切换时间（自愈时间）&lt;40ms；</w:t>
      </w:r>
    </w:p>
    <w:p w14:paraId="73565439"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3)电路可用率&gt;99%；</w:t>
      </w:r>
    </w:p>
    <w:p w14:paraId="79AA1BE4"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4)延时抖动&lt;15ms；</w:t>
      </w:r>
    </w:p>
    <w:p w14:paraId="702D2BA1"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5)丢包率&lt;0.01%</w:t>
      </w:r>
      <w:r>
        <w:rPr>
          <w:rFonts w:hint="eastAsia" w:ascii="宋体" w:hAnsi="宋体"/>
          <w:sz w:val="24"/>
        </w:rPr>
        <w:t>。</w:t>
      </w:r>
    </w:p>
    <w:p w14:paraId="2D710101">
      <w:pPr>
        <w:ind w:firstLine="42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1.2</w:t>
      </w:r>
      <w:r>
        <w:rPr>
          <w:rFonts w:hint="eastAsia" w:ascii="宋体" w:hAnsi="宋体"/>
          <w:b/>
          <w:sz w:val="24"/>
        </w:rPr>
        <w:t>校区间互联互通</w:t>
      </w:r>
    </w:p>
    <w:p w14:paraId="37EE2672"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1）</w:t>
      </w:r>
      <w:r>
        <w:rPr>
          <w:rFonts w:hint="eastAsia" w:ascii="宋体" w:hAnsi="宋体"/>
          <w:sz w:val="24"/>
        </w:rPr>
        <w:t>提供安宁校区</w:t>
      </w:r>
      <w:r>
        <w:rPr>
          <w:rFonts w:ascii="宋体" w:hAnsi="宋体"/>
          <w:sz w:val="24"/>
        </w:rPr>
        <w:t>至</w:t>
      </w:r>
      <w:r>
        <w:rPr>
          <w:rFonts w:hint="eastAsia" w:ascii="宋体" w:hAnsi="宋体"/>
          <w:sz w:val="24"/>
        </w:rPr>
        <w:t>邛海</w:t>
      </w:r>
      <w:r>
        <w:rPr>
          <w:rFonts w:ascii="宋体" w:hAnsi="宋体"/>
          <w:sz w:val="24"/>
        </w:rPr>
        <w:t>区光芯</w:t>
      </w:r>
      <w:r>
        <w:rPr>
          <w:rFonts w:hint="eastAsia" w:ascii="宋体" w:hAnsi="宋体"/>
          <w:sz w:val="24"/>
        </w:rPr>
        <w:t>两</w:t>
      </w:r>
      <w:r>
        <w:rPr>
          <w:rFonts w:ascii="宋体" w:hAnsi="宋体"/>
          <w:sz w:val="24"/>
        </w:rPr>
        <w:t>对，该段光缆全长约20公里，分别</w:t>
      </w:r>
      <w:r>
        <w:rPr>
          <w:rFonts w:hint="eastAsia" w:ascii="宋体" w:hAnsi="宋体"/>
          <w:sz w:val="24"/>
        </w:rPr>
        <w:t>接入</w:t>
      </w:r>
      <w:r>
        <w:rPr>
          <w:rFonts w:ascii="宋体" w:hAnsi="宋体"/>
          <w:sz w:val="24"/>
        </w:rPr>
        <w:t>校方两校区机房。</w:t>
      </w:r>
    </w:p>
    <w:p w14:paraId="6B5FC40E"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2）</w:t>
      </w:r>
      <w:r>
        <w:rPr>
          <w:rFonts w:hint="eastAsia" w:ascii="宋体" w:hAnsi="宋体"/>
          <w:sz w:val="24"/>
        </w:rPr>
        <w:t>提供西</w:t>
      </w:r>
      <w:r>
        <w:rPr>
          <w:rFonts w:ascii="宋体" w:hAnsi="宋体"/>
          <w:sz w:val="24"/>
        </w:rPr>
        <w:t>校区至</w:t>
      </w:r>
      <w:r>
        <w:rPr>
          <w:rFonts w:hint="eastAsia" w:ascii="宋体" w:hAnsi="宋体"/>
          <w:sz w:val="24"/>
        </w:rPr>
        <w:t>安宁校</w:t>
      </w:r>
      <w:r>
        <w:rPr>
          <w:rFonts w:ascii="宋体" w:hAnsi="宋体"/>
          <w:sz w:val="24"/>
        </w:rPr>
        <w:t>区光芯一对，该段光缆</w:t>
      </w:r>
      <w:r>
        <w:rPr>
          <w:rFonts w:hint="eastAsia" w:ascii="宋体" w:hAnsi="宋体"/>
          <w:sz w:val="24"/>
        </w:rPr>
        <w:t>全</w:t>
      </w:r>
      <w:r>
        <w:rPr>
          <w:rFonts w:ascii="宋体" w:hAnsi="宋体"/>
          <w:sz w:val="24"/>
        </w:rPr>
        <w:t>长约</w:t>
      </w: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>0公里</w:t>
      </w:r>
      <w:r>
        <w:rPr>
          <w:rFonts w:hint="eastAsia" w:ascii="宋体" w:hAnsi="宋体"/>
          <w:sz w:val="24"/>
        </w:rPr>
        <w:t>，接入</w:t>
      </w:r>
      <w:r>
        <w:rPr>
          <w:rFonts w:ascii="宋体" w:hAnsi="宋体"/>
          <w:sz w:val="24"/>
        </w:rPr>
        <w:t>校方</w:t>
      </w:r>
      <w:r>
        <w:rPr>
          <w:rFonts w:hint="eastAsia" w:ascii="宋体" w:hAnsi="宋体"/>
          <w:sz w:val="24"/>
        </w:rPr>
        <w:t>北校</w:t>
      </w:r>
      <w:r>
        <w:rPr>
          <w:rFonts w:ascii="宋体" w:hAnsi="宋体"/>
          <w:sz w:val="24"/>
        </w:rPr>
        <w:t>区机房。</w:t>
      </w:r>
    </w:p>
    <w:p w14:paraId="78665530"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3）</w:t>
      </w:r>
      <w:r>
        <w:rPr>
          <w:rFonts w:hint="eastAsia" w:ascii="宋体" w:hAnsi="宋体"/>
          <w:sz w:val="24"/>
        </w:rPr>
        <w:t>提供文汇路</w:t>
      </w:r>
      <w:r>
        <w:rPr>
          <w:rFonts w:ascii="宋体" w:hAnsi="宋体"/>
          <w:sz w:val="24"/>
        </w:rPr>
        <w:t>校区</w:t>
      </w:r>
      <w:r>
        <w:rPr>
          <w:rFonts w:hint="eastAsia" w:ascii="宋体" w:hAnsi="宋体"/>
          <w:sz w:val="24"/>
        </w:rPr>
        <w:t>（成教院）</w:t>
      </w:r>
      <w:r>
        <w:rPr>
          <w:rFonts w:ascii="宋体" w:hAnsi="宋体"/>
          <w:sz w:val="24"/>
        </w:rPr>
        <w:t>至</w:t>
      </w:r>
      <w:r>
        <w:rPr>
          <w:rFonts w:hint="eastAsia" w:ascii="宋体" w:hAnsi="宋体"/>
          <w:sz w:val="24"/>
        </w:rPr>
        <w:t>安宁校</w:t>
      </w:r>
      <w:r>
        <w:rPr>
          <w:rFonts w:ascii="宋体" w:hAnsi="宋体"/>
          <w:sz w:val="24"/>
        </w:rPr>
        <w:t>区光芯一对，该段光缆全长约15公里</w:t>
      </w:r>
      <w:r>
        <w:rPr>
          <w:rFonts w:hint="eastAsia" w:ascii="宋体" w:hAnsi="宋体"/>
          <w:sz w:val="24"/>
        </w:rPr>
        <w:t>，接入</w:t>
      </w:r>
      <w:r>
        <w:rPr>
          <w:rFonts w:ascii="宋体" w:hAnsi="宋体"/>
          <w:sz w:val="24"/>
        </w:rPr>
        <w:t>校方</w:t>
      </w:r>
      <w:r>
        <w:rPr>
          <w:rFonts w:hint="eastAsia" w:ascii="宋体" w:hAnsi="宋体"/>
          <w:sz w:val="24"/>
        </w:rPr>
        <w:t>安宁校</w:t>
      </w:r>
      <w:r>
        <w:rPr>
          <w:rFonts w:ascii="宋体" w:hAnsi="宋体"/>
          <w:sz w:val="24"/>
        </w:rPr>
        <w:t>区机房。</w:t>
      </w:r>
    </w:p>
    <w:p w14:paraId="797E63DF"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4）</w:t>
      </w:r>
      <w:r>
        <w:rPr>
          <w:rFonts w:hint="eastAsia" w:ascii="宋体" w:hAnsi="宋体"/>
          <w:sz w:val="24"/>
        </w:rPr>
        <w:t>提供预科部至邛海校</w:t>
      </w:r>
      <w:r>
        <w:rPr>
          <w:rFonts w:ascii="宋体" w:hAnsi="宋体"/>
          <w:sz w:val="24"/>
        </w:rPr>
        <w:t>区光芯一对，该段光缆</w:t>
      </w:r>
      <w:r>
        <w:rPr>
          <w:rFonts w:hint="eastAsia" w:ascii="宋体" w:hAnsi="宋体"/>
          <w:sz w:val="24"/>
        </w:rPr>
        <w:t>全</w:t>
      </w:r>
      <w:r>
        <w:rPr>
          <w:rFonts w:ascii="宋体" w:hAnsi="宋体"/>
          <w:sz w:val="24"/>
        </w:rPr>
        <w:t>长约3公里</w:t>
      </w:r>
      <w:r>
        <w:rPr>
          <w:rFonts w:hint="eastAsia" w:ascii="宋体" w:hAnsi="宋体"/>
          <w:sz w:val="24"/>
        </w:rPr>
        <w:t>，接入</w:t>
      </w:r>
      <w:r>
        <w:rPr>
          <w:rFonts w:ascii="宋体" w:hAnsi="宋体"/>
          <w:sz w:val="24"/>
        </w:rPr>
        <w:t>校方</w:t>
      </w:r>
      <w:r>
        <w:rPr>
          <w:rFonts w:hint="eastAsia" w:ascii="宋体" w:hAnsi="宋体"/>
          <w:sz w:val="24"/>
        </w:rPr>
        <w:t>邛海校</w:t>
      </w:r>
      <w:r>
        <w:rPr>
          <w:rFonts w:ascii="宋体" w:hAnsi="宋体"/>
          <w:sz w:val="24"/>
        </w:rPr>
        <w:t>区机房。</w:t>
      </w:r>
    </w:p>
    <w:p w14:paraId="0BFF3D05">
      <w:pPr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5</w:t>
      </w:r>
      <w:r>
        <w:rPr>
          <w:rFonts w:hint="eastAsia" w:ascii="宋体" w:hAnsi="宋体"/>
          <w:sz w:val="24"/>
        </w:rPr>
        <w:t>）</w:t>
      </w:r>
      <w:r>
        <w:rPr>
          <w:rFonts w:ascii="宋体" w:hAnsi="宋体"/>
          <w:sz w:val="24"/>
        </w:rPr>
        <w:t>网络性能参数要求</w:t>
      </w:r>
      <w:r>
        <w:rPr>
          <w:rFonts w:hint="eastAsia" w:ascii="宋体" w:hAnsi="宋体"/>
          <w:sz w:val="24"/>
        </w:rPr>
        <w:t>：</w:t>
      </w:r>
      <w:r>
        <w:rPr>
          <w:rFonts w:ascii="宋体" w:hAnsi="宋体"/>
          <w:sz w:val="24"/>
        </w:rPr>
        <w:t>单模光纤要求符合ITU-T的G.652标准。（光缆衰耗必须满足1550nm波长内传输≤0.3dB/km，保证我校业务开启）。</w:t>
      </w:r>
    </w:p>
    <w:p w14:paraId="567B1C51"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ascii="宋体" w:hAnsi="宋体"/>
          <w:b/>
          <w:sz w:val="24"/>
        </w:rPr>
        <w:t>2.技术支持及服务</w:t>
      </w:r>
    </w:p>
    <w:p w14:paraId="193C4A6A"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2.1工期：中标合同签署后10日（自然日）内调配资源，中标方必须按我校要求保证端到端连接，割接1日内交付使用。</w:t>
      </w:r>
    </w:p>
    <w:p w14:paraId="6C14493E"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2.2 服务期：本次</w:t>
      </w:r>
      <w:r>
        <w:rPr>
          <w:rFonts w:hint="eastAsia" w:ascii="宋体" w:hAnsi="宋体"/>
          <w:sz w:val="24"/>
        </w:rPr>
        <w:t>采购</w:t>
      </w:r>
      <w:r>
        <w:rPr>
          <w:rFonts w:ascii="宋体" w:hAnsi="宋体"/>
          <w:sz w:val="24"/>
        </w:rPr>
        <w:t>服务期为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年。</w:t>
      </w:r>
    </w:p>
    <w:p w14:paraId="1154250A"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2.3售后服务：</w:t>
      </w:r>
    </w:p>
    <w:p w14:paraId="4C796DA3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1）提供完善的售后服务系统，提供7</w:t>
      </w:r>
      <w:r>
        <w:rPr>
          <w:rFonts w:hint="eastAsia" w:ascii="宋体" w:hAnsi="宋体"/>
          <w:sz w:val="24"/>
        </w:rPr>
        <w:t>×</w:t>
      </w:r>
      <w:r>
        <w:rPr>
          <w:rFonts w:ascii="宋体" w:hAnsi="宋体"/>
          <w:sz w:val="24"/>
        </w:rPr>
        <w:t>24小时电话或网络报障服务，能够提供包括重大故障及事件预警。如由于线路检修、设备搬迁、工程割接、网络及软件升级等可预见的原因，影响或可能影响我校使用该光纤电路接入服务的，应至少提前72小时通知并提供相关预案。在接到我校网络故障申报后，需在2-4小时内解决，并</w:t>
      </w:r>
      <w:r>
        <w:rPr>
          <w:rFonts w:hint="eastAsia" w:ascii="宋体" w:hAnsi="宋体"/>
          <w:sz w:val="24"/>
        </w:rPr>
        <w:t>提供</w:t>
      </w:r>
      <w:r>
        <w:rPr>
          <w:rFonts w:ascii="宋体" w:hAnsi="宋体"/>
          <w:sz w:val="24"/>
        </w:rPr>
        <w:t>处理报告。超过4小时以上不能处理故障，导致我校不能正常使用，需按合同约定方式提供赔偿。</w:t>
      </w:r>
    </w:p>
    <w:p w14:paraId="29D3CD97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2）</w:t>
      </w:r>
      <w:r>
        <w:rPr>
          <w:rFonts w:hint="eastAsia" w:ascii="宋体" w:hAnsi="宋体"/>
          <w:sz w:val="24"/>
        </w:rPr>
        <w:t>供应商</w:t>
      </w:r>
      <w:r>
        <w:rPr>
          <w:rFonts w:ascii="宋体" w:hAnsi="宋体"/>
          <w:sz w:val="24"/>
        </w:rPr>
        <w:t>投标时需提供应急保障方案。</w:t>
      </w:r>
    </w:p>
    <w:p w14:paraId="027C5AA8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3）中标方应按月定期提供带宽使用的月报表。</w:t>
      </w:r>
    </w:p>
    <w:p w14:paraId="34779BC3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4）在安装现场或国内进行免费人员培训</w:t>
      </w:r>
      <w:r>
        <w:rPr>
          <w:rFonts w:hint="eastAsia" w:ascii="宋体" w:hAnsi="宋体"/>
          <w:sz w:val="24"/>
        </w:rPr>
        <w:t>不低于</w:t>
      </w:r>
      <w:r>
        <w:rPr>
          <w:rFonts w:ascii="宋体" w:hAnsi="宋体"/>
          <w:sz w:val="24"/>
        </w:rPr>
        <w:t>2人。</w:t>
      </w:r>
    </w:p>
    <w:p w14:paraId="41B735C1">
      <w:pPr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2.4签</w:t>
      </w:r>
      <w:r>
        <w:rPr>
          <w:rFonts w:hint="eastAsia" w:ascii="宋体" w:hAnsi="宋体"/>
          <w:sz w:val="24"/>
        </w:rPr>
        <w:t>订</w:t>
      </w:r>
      <w:r>
        <w:rPr>
          <w:rFonts w:ascii="宋体" w:hAnsi="宋体"/>
          <w:sz w:val="24"/>
        </w:rPr>
        <w:t>合同时，中标方需提供该电路详细路由及路由上各交接箱位置。</w:t>
      </w:r>
    </w:p>
    <w:p w14:paraId="53DE5298"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hint="eastAsia" w:ascii="宋体" w:hAnsi="宋体"/>
          <w:b/>
          <w:sz w:val="24"/>
        </w:rPr>
        <w:t>3.其他商务要求：</w:t>
      </w:r>
    </w:p>
    <w:p w14:paraId="709B2D13">
      <w:pPr>
        <w:ind w:firstLine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3.1互联网专线接入及光纤租赁服务期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年。</w:t>
      </w:r>
    </w:p>
    <w:p w14:paraId="3BE54F69">
      <w:pPr>
        <w:ind w:firstLine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3.2付款方式：</w:t>
      </w:r>
      <w:r>
        <w:rPr>
          <w:rFonts w:hint="eastAsia" w:ascii="宋体" w:hAnsi="宋体"/>
          <w:sz w:val="24"/>
        </w:rPr>
        <w:t>2025年6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</w:rPr>
        <w:t>30</w:t>
      </w:r>
      <w:r>
        <w:rPr>
          <w:rFonts w:ascii="宋体" w:hAnsi="宋体"/>
          <w:sz w:val="24"/>
        </w:rPr>
        <w:t>日前支付该年度的线路租用服务费。</w:t>
      </w:r>
    </w:p>
    <w:p w14:paraId="7CB9FDEB">
      <w:pPr>
        <w:ind w:firstLine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3.3验收标准和方法：</w:t>
      </w:r>
    </w:p>
    <w:p w14:paraId="278D008F">
      <w:pPr>
        <w:ind w:firstLine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（1）</w:t>
      </w:r>
      <w:r>
        <w:rPr>
          <w:rFonts w:ascii="宋体" w:hAnsi="宋体"/>
          <w:sz w:val="24"/>
        </w:rPr>
        <w:t xml:space="preserve"> 验收办法</w:t>
      </w:r>
    </w:p>
    <w:p w14:paraId="7BE6C26B">
      <w:pPr>
        <w:ind w:firstLine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安装调试完毕后，采购人技术人员同供应商一起进行开通运行测试及性能测试</w:t>
      </w:r>
      <w:r>
        <w:rPr>
          <w:rFonts w:ascii="宋体" w:hAnsi="宋体"/>
          <w:sz w:val="24"/>
        </w:rPr>
        <w:t>[测试指标应包括但不限于：线路误码率、传输时延、实时传输带宽数据（不低于指定带宽的 90%）、线路丢包率等]，使用 5 个工作日，无质量问题采购人签字验收。</w:t>
      </w:r>
    </w:p>
    <w:p w14:paraId="6E104419">
      <w:pPr>
        <w:ind w:firstLine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（2）</w:t>
      </w:r>
      <w:r>
        <w:rPr>
          <w:rFonts w:ascii="宋体" w:hAnsi="宋体"/>
          <w:sz w:val="24"/>
        </w:rPr>
        <w:t>提供资料</w:t>
      </w:r>
    </w:p>
    <w:p w14:paraId="2B5ACD07">
      <w:pPr>
        <w:ind w:firstLine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供应商提供与本项目验收有关的资料，包括但不限于各级节点的详细光缆路由图、参数文档、技术说明、线路的测试报告等内容。</w:t>
      </w:r>
    </w:p>
    <w:p w14:paraId="13418D06">
      <w:pPr>
        <w:ind w:firstLine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（3）</w:t>
      </w:r>
      <w:r>
        <w:rPr>
          <w:rFonts w:ascii="宋体" w:hAnsi="宋体"/>
          <w:sz w:val="24"/>
        </w:rPr>
        <w:t>验收文档应包括但不限于：售后服务承诺文档；项目竣工文档；项目测试文档；项目验收文档。</w:t>
      </w:r>
    </w:p>
    <w:p w14:paraId="3C5528E3">
      <w:pPr>
        <w:rPr>
          <w:rFonts w:ascii="宋体" w:hAnsi="宋体"/>
          <w:b/>
          <w:sz w:val="24"/>
        </w:rPr>
      </w:pPr>
    </w:p>
    <w:p w14:paraId="49467112">
      <w:pPr>
        <w:rPr>
          <w:rFonts w:hint="eastAsia" w:ascii="宋体" w:hAnsi="宋体"/>
          <w:b/>
          <w:sz w:val="24"/>
        </w:rPr>
      </w:pPr>
    </w:p>
    <w:sectPr>
      <w:pgSz w:w="11906" w:h="16838"/>
      <w:pgMar w:top="1440" w:right="1752" w:bottom="1440" w:left="175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YzY4NDYyYjA1MjM5MjEzZWNkMzFiMWNjN2VjM2IifQ=="/>
  </w:docVars>
  <w:rsids>
    <w:rsidRoot w:val="00A71F17"/>
    <w:rsid w:val="00024B2D"/>
    <w:rsid w:val="00030737"/>
    <w:rsid w:val="00040AF1"/>
    <w:rsid w:val="00046632"/>
    <w:rsid w:val="000610E5"/>
    <w:rsid w:val="0007373D"/>
    <w:rsid w:val="00096E31"/>
    <w:rsid w:val="000B1F95"/>
    <w:rsid w:val="000B358A"/>
    <w:rsid w:val="000C260F"/>
    <w:rsid w:val="000D37AA"/>
    <w:rsid w:val="000E22CB"/>
    <w:rsid w:val="000E24C1"/>
    <w:rsid w:val="000E4E69"/>
    <w:rsid w:val="000F1251"/>
    <w:rsid w:val="000F4C78"/>
    <w:rsid w:val="000F7FEE"/>
    <w:rsid w:val="001066AF"/>
    <w:rsid w:val="00122B9B"/>
    <w:rsid w:val="00131612"/>
    <w:rsid w:val="00136813"/>
    <w:rsid w:val="0013797C"/>
    <w:rsid w:val="00182C6B"/>
    <w:rsid w:val="001B762C"/>
    <w:rsid w:val="001C467D"/>
    <w:rsid w:val="001C5428"/>
    <w:rsid w:val="001C7948"/>
    <w:rsid w:val="001F1B7B"/>
    <w:rsid w:val="001F2345"/>
    <w:rsid w:val="00201D07"/>
    <w:rsid w:val="0021072A"/>
    <w:rsid w:val="00231FA6"/>
    <w:rsid w:val="00233ECD"/>
    <w:rsid w:val="00240136"/>
    <w:rsid w:val="00265278"/>
    <w:rsid w:val="00281D3A"/>
    <w:rsid w:val="002A2B96"/>
    <w:rsid w:val="002B5F46"/>
    <w:rsid w:val="002E4C41"/>
    <w:rsid w:val="00304272"/>
    <w:rsid w:val="00313C73"/>
    <w:rsid w:val="00316EA8"/>
    <w:rsid w:val="00335EC6"/>
    <w:rsid w:val="00356A06"/>
    <w:rsid w:val="00364FD0"/>
    <w:rsid w:val="00376A6E"/>
    <w:rsid w:val="0037786D"/>
    <w:rsid w:val="003846DF"/>
    <w:rsid w:val="003C186B"/>
    <w:rsid w:val="003C6098"/>
    <w:rsid w:val="003E42F1"/>
    <w:rsid w:val="003F3765"/>
    <w:rsid w:val="00422DFD"/>
    <w:rsid w:val="00456F11"/>
    <w:rsid w:val="00463E1F"/>
    <w:rsid w:val="00465948"/>
    <w:rsid w:val="00477518"/>
    <w:rsid w:val="0048185F"/>
    <w:rsid w:val="004D5FA9"/>
    <w:rsid w:val="004F4BF3"/>
    <w:rsid w:val="00505EC0"/>
    <w:rsid w:val="00516287"/>
    <w:rsid w:val="005415E6"/>
    <w:rsid w:val="00562D87"/>
    <w:rsid w:val="00571B79"/>
    <w:rsid w:val="005A50CB"/>
    <w:rsid w:val="005B4317"/>
    <w:rsid w:val="005C0846"/>
    <w:rsid w:val="005C2E43"/>
    <w:rsid w:val="005C3179"/>
    <w:rsid w:val="005D02B5"/>
    <w:rsid w:val="005E0B36"/>
    <w:rsid w:val="005E4BCE"/>
    <w:rsid w:val="005E744B"/>
    <w:rsid w:val="005E7A50"/>
    <w:rsid w:val="0061444D"/>
    <w:rsid w:val="00635C5C"/>
    <w:rsid w:val="00643FE7"/>
    <w:rsid w:val="0065662C"/>
    <w:rsid w:val="00674E0C"/>
    <w:rsid w:val="006A4C8E"/>
    <w:rsid w:val="006B6790"/>
    <w:rsid w:val="006D1EB3"/>
    <w:rsid w:val="006D3B2A"/>
    <w:rsid w:val="006F04E0"/>
    <w:rsid w:val="007023D2"/>
    <w:rsid w:val="00704B07"/>
    <w:rsid w:val="007118DD"/>
    <w:rsid w:val="00712542"/>
    <w:rsid w:val="00725CC6"/>
    <w:rsid w:val="00767D65"/>
    <w:rsid w:val="00773375"/>
    <w:rsid w:val="00775F99"/>
    <w:rsid w:val="0078058F"/>
    <w:rsid w:val="00785831"/>
    <w:rsid w:val="0079679C"/>
    <w:rsid w:val="007A054A"/>
    <w:rsid w:val="007A772E"/>
    <w:rsid w:val="007E233E"/>
    <w:rsid w:val="007F444D"/>
    <w:rsid w:val="007F76A2"/>
    <w:rsid w:val="00804F21"/>
    <w:rsid w:val="00825EB6"/>
    <w:rsid w:val="00847776"/>
    <w:rsid w:val="008700F9"/>
    <w:rsid w:val="00882BD5"/>
    <w:rsid w:val="00882E57"/>
    <w:rsid w:val="00887A9C"/>
    <w:rsid w:val="008A1ABC"/>
    <w:rsid w:val="008A5987"/>
    <w:rsid w:val="008C0DB1"/>
    <w:rsid w:val="008D0123"/>
    <w:rsid w:val="008E6803"/>
    <w:rsid w:val="00922FA7"/>
    <w:rsid w:val="00945719"/>
    <w:rsid w:val="00945A62"/>
    <w:rsid w:val="009C1BCD"/>
    <w:rsid w:val="009C4612"/>
    <w:rsid w:val="009D3005"/>
    <w:rsid w:val="009F3399"/>
    <w:rsid w:val="009F580D"/>
    <w:rsid w:val="00A33666"/>
    <w:rsid w:val="00A5395D"/>
    <w:rsid w:val="00A576A3"/>
    <w:rsid w:val="00A71F17"/>
    <w:rsid w:val="00A92B7D"/>
    <w:rsid w:val="00A95F70"/>
    <w:rsid w:val="00AA1A6D"/>
    <w:rsid w:val="00AA6717"/>
    <w:rsid w:val="00AC54BA"/>
    <w:rsid w:val="00AD7985"/>
    <w:rsid w:val="00B0329A"/>
    <w:rsid w:val="00B14302"/>
    <w:rsid w:val="00B532D3"/>
    <w:rsid w:val="00B6323E"/>
    <w:rsid w:val="00B93FAC"/>
    <w:rsid w:val="00B94AC6"/>
    <w:rsid w:val="00BB26BE"/>
    <w:rsid w:val="00BB76CF"/>
    <w:rsid w:val="00BD2DF0"/>
    <w:rsid w:val="00BF170E"/>
    <w:rsid w:val="00C23318"/>
    <w:rsid w:val="00C24290"/>
    <w:rsid w:val="00C3131E"/>
    <w:rsid w:val="00C4018E"/>
    <w:rsid w:val="00C46DBE"/>
    <w:rsid w:val="00C648FC"/>
    <w:rsid w:val="00CA5A74"/>
    <w:rsid w:val="00CB36D5"/>
    <w:rsid w:val="00CC4DCD"/>
    <w:rsid w:val="00CD2360"/>
    <w:rsid w:val="00CE2089"/>
    <w:rsid w:val="00D00985"/>
    <w:rsid w:val="00D13A8A"/>
    <w:rsid w:val="00D30DDF"/>
    <w:rsid w:val="00D3530C"/>
    <w:rsid w:val="00D539A4"/>
    <w:rsid w:val="00D55551"/>
    <w:rsid w:val="00DB51A9"/>
    <w:rsid w:val="00DB75FA"/>
    <w:rsid w:val="00DC4A9F"/>
    <w:rsid w:val="00DC7E18"/>
    <w:rsid w:val="00DD38A3"/>
    <w:rsid w:val="00DD7962"/>
    <w:rsid w:val="00E04FA0"/>
    <w:rsid w:val="00E330F3"/>
    <w:rsid w:val="00E339DA"/>
    <w:rsid w:val="00E418E1"/>
    <w:rsid w:val="00E55D6F"/>
    <w:rsid w:val="00E76630"/>
    <w:rsid w:val="00EA1427"/>
    <w:rsid w:val="00EB50C8"/>
    <w:rsid w:val="00EB5D12"/>
    <w:rsid w:val="00EE6154"/>
    <w:rsid w:val="00EF7772"/>
    <w:rsid w:val="00F020D0"/>
    <w:rsid w:val="00F07904"/>
    <w:rsid w:val="00F6735B"/>
    <w:rsid w:val="00F96D06"/>
    <w:rsid w:val="00FA0005"/>
    <w:rsid w:val="00FB5D0A"/>
    <w:rsid w:val="00FD5A4C"/>
    <w:rsid w:val="00FD738E"/>
    <w:rsid w:val="00FE2B43"/>
    <w:rsid w:val="00FE7817"/>
    <w:rsid w:val="00FF4D66"/>
    <w:rsid w:val="0F103A16"/>
    <w:rsid w:val="13624539"/>
    <w:rsid w:val="15873BFA"/>
    <w:rsid w:val="159D7CBC"/>
    <w:rsid w:val="228C52C6"/>
    <w:rsid w:val="26060C15"/>
    <w:rsid w:val="27E16187"/>
    <w:rsid w:val="286F26E2"/>
    <w:rsid w:val="3CB5282C"/>
    <w:rsid w:val="417A1B27"/>
    <w:rsid w:val="50E77BA5"/>
    <w:rsid w:val="52C91ABA"/>
    <w:rsid w:val="53CF1BA8"/>
    <w:rsid w:val="59F43649"/>
    <w:rsid w:val="5E497C62"/>
    <w:rsid w:val="69592BB9"/>
    <w:rsid w:val="6DC31AAF"/>
    <w:rsid w:val="73242DDA"/>
    <w:rsid w:val="75B13501"/>
    <w:rsid w:val="7C8777F2"/>
    <w:rsid w:val="7EB643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ody Text"/>
    <w:basedOn w:val="1"/>
    <w:link w:val="11"/>
    <w:uiPriority w:val="0"/>
    <w:pPr>
      <w:spacing w:after="120"/>
    </w:pPr>
    <w:rPr>
      <w:rFonts w:ascii="Calibri" w:hAnsi="Calibri"/>
      <w:szCs w:val="22"/>
    </w:rPr>
  </w:style>
  <w:style w:type="paragraph" w:styleId="4">
    <w:name w:val="Body Text Indent"/>
    <w:basedOn w:val="1"/>
    <w:link w:val="12"/>
    <w:uiPriority w:val="0"/>
    <w:pPr>
      <w:spacing w:after="120"/>
      <w:ind w:left="420" w:leftChars="200"/>
    </w:pPr>
  </w:style>
  <w:style w:type="paragraph" w:styleId="5">
    <w:name w:val="Plain Text"/>
    <w:basedOn w:val="1"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uiPriority w:val="39"/>
    <w:rPr>
      <w:rFonts w:ascii="等线" w:hAnsi="等线" w:eastAsia="等线" w:cs="Times New Roman"/>
    </w:r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正文文本 字符"/>
    <w:link w:val="3"/>
    <w:locked/>
    <w:uiPriority w:val="0"/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customStyle="1" w:styleId="12">
    <w:name w:val="正文文本缩进 字符"/>
    <w:link w:val="4"/>
    <w:uiPriority w:val="0"/>
    <w:rPr>
      <w:kern w:val="2"/>
      <w:sz w:val="21"/>
      <w:szCs w:val="24"/>
    </w:rPr>
  </w:style>
  <w:style w:type="character" w:customStyle="1" w:styleId="13">
    <w:name w:val="页脚 字符"/>
    <w:link w:val="6"/>
    <w:uiPriority w:val="99"/>
    <w:rPr>
      <w:kern w:val="2"/>
      <w:sz w:val="18"/>
      <w:szCs w:val="18"/>
    </w:rPr>
  </w:style>
  <w:style w:type="character" w:customStyle="1" w:styleId="14">
    <w:name w:val="页眉 字符"/>
    <w:link w:val="7"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20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1209</Words>
  <Characters>1320</Characters>
  <Lines>15</Lines>
  <Paragraphs>4</Paragraphs>
  <TotalTime>2</TotalTime>
  <ScaleCrop>false</ScaleCrop>
  <LinksUpToDate>false</LinksUpToDate>
  <CharactersWithSpaces>1325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2024-12-09T03:00:00Z</dcterms:created>
  <dc:creator>yanghb</dc:creator>
  <cp:lastModifiedBy>hp</cp:lastModifiedBy>
  <cp:lastPrinted>2018-03-05T02:58:00Z</cp:lastPrinted>
  <dcterms:modified xsi:type="dcterms:W3CDTF">2025-12-09T08:38:53Z</dcterms:modified>
  <dc:title>项 目 名 称：西昌学院2018南北校区垃圾清运（红色字体是举例，下同）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A0D861C269BC4E65861B92DFCCEE3A9C_13</vt:lpwstr>
  </property>
  <property fmtid="{D5CDD505-2E9C-101B-9397-08002B2CF9AE}" pid="4" name="KSOTemplateDocerSaveRecord">
    <vt:lpwstr>eyJoZGlkIjoiMWQ5M2ExMDZiMTgyMzhmYTAwZjYwYjJhZGRmYzZjYzEifQ==</vt:lpwstr>
  </property>
</Properties>
</file>